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588F27" w:val="clear"/>
        <w:ind w:left="200" w:right="200"/>
      </w:pPr>
      <w:r>
        <w:rPr>
          <w:b/>
          <w:bCs/>
          <w:color w:val="FFFFFF"/>
          <w:sz w:val="36"/>
          <w:szCs w:val="36"/>
        </w:rPr>
        <w:t xml:space="preserve">CYBERESIST</w:t>
      </w:r>
    </w:p>
    <w:p>
      <w:pPr>
        <w:shd w:fill="588F27" w:val="clear"/>
        <w:spacing w:after="60" w:before="60"/>
        <w:ind w:left="200" w:right="200"/>
      </w:pPr>
      <w:r>
        <w:rPr>
          <w:b/>
          <w:bCs/>
          <w:color w:val="FFFFFF"/>
          <w:sz w:val="32"/>
          <w:szCs w:val="32"/>
        </w:rPr>
        <w:t xml:space="preserve">Contacts presse</w:t>
      </w:r>
    </w:p>
    <w:p>
      <w:pPr>
        <w:shd w:fill="588F27" w:val="clear"/>
        <w:spacing w:after="200" w:before="0"/>
        <w:ind w:left="200" w:right="200"/>
      </w:pPr>
      <w:r>
        <w:rPr>
          <w:color w:val="FFFFFF"/>
          <w:sz w:val="20"/>
          <w:szCs w:val="20"/>
        </w:rPr>
        <w:t xml:space="preserve">Carte de visite presse — Édition 2026</w:t>
      </w:r>
    </w:p>
    <w:p>
      <w:pPr>
        <w:spacing w:after="160" w:before="320"/>
      </w:pPr>
      <w:r>
        <w:rPr>
          <w:b/>
          <w:bCs/>
          <w:color w:val="588F27"/>
          <w:sz w:val="32"/>
          <w:szCs w:val="32"/>
        </w:rPr>
        <w:t xml:space="preserve">Contact presse principal</w:t>
      </w:r>
    </w:p>
    <w:p>
      <w:pPr>
        <w:spacing w:after="120"/>
      </w:pPr>
      <w:r>
        <w:rPr>
          <w:b/>
          <w:bCs/>
          <w:sz w:val="30"/>
          <w:szCs w:val="30"/>
        </w:rPr>
        <w:t xml:space="preserve">Fabien Tavernier</w:t>
      </w:r>
    </w:p>
    <w:p>
      <w:pPr>
        <w:spacing w:after="200"/>
      </w:pPr>
      <w:r>
        <w:rPr>
          <w:b/>
          <w:bCs/>
          <w:color w:val="588F27"/>
          <w:sz w:val="22"/>
          <w:szCs w:val="22"/>
        </w:rPr>
        <w:t xml:space="preserve">Président, cofondateur</w:t>
      </w:r>
    </w:p>
    <w:p>
      <w:pPr>
        <w:spacing w:after="120"/>
      </w:pPr>
      <w:r>
        <w:rPr>
          <w:b/>
          <w:bCs/>
        </w:rPr>
        <w:t xml:space="preserve">Email : </w:t>
      </w:r>
      <w:r>
        <w:rPr>
          <w:color w:val="0563C1"/>
        </w:rPr>
        <w:t xml:space="preserve">fabien.tavernier@cyberesist.com</w:t>
      </w:r>
    </w:p>
    <w:p>
      <w:pPr>
        <w:spacing w:after="120"/>
      </w:pPr>
      <w:r>
        <w:rPr>
          <w:b/>
          <w:bCs/>
        </w:rPr>
        <w:t xml:space="preserve">Tél. : </w:t>
      </w:r>
      <w:r>
        <w:t xml:space="preserve">+33 6 74 52 26 53</w:t>
      </w:r>
    </w:p>
    <w:p>
      <w:pPr>
        <w:spacing w:after="120"/>
      </w:pPr>
      <w:r>
        <w:rPr>
          <w:b/>
          <w:bCs/>
        </w:rPr>
        <w:t xml:space="preserve">LinkedIn : </w:t>
      </w:r>
      <w:r>
        <w:t xml:space="preserve">linkedin.com/in/fabien-tavernier</w:t>
      </w:r>
    </w:p>
    <w:p>
      <w:pPr>
        <w:spacing w:after="120"/>
      </w:pPr>
      <w:r>
        <w:rPr>
          <w:b/>
          <w:bCs/>
        </w:rPr>
        <w:t xml:space="preserve">X : </w:t>
      </w:r>
      <w:r>
        <w:t xml:space="preserve">@fabien_tavernier</w:t>
      </w:r>
    </w:p>
    <w:p>
      <w:pPr>
        <w:spacing w:after="160" w:before="320"/>
      </w:pPr>
      <w:r>
        <w:rPr>
          <w:b/>
          <w:bCs/>
          <w:color w:val="1A1A1A"/>
          <w:sz w:val="26"/>
          <w:szCs w:val="26"/>
        </w:rPr>
        <w:t xml:space="preserve">Disponibilité</w:t>
      </w:r>
    </w:p>
    <w:p>
      <w:pPr>
        <w:spacing w:after="120"/>
      </w:pPr>
      <w:r>
        <w:t xml:space="preserve">Sur sujets éditoriaux, interviews, citations, vérifications factuelles : </w:t>
      </w:r>
      <w:r>
        <w:rPr>
          <w:b/>
          <w:bCs/>
        </w:rPr>
        <w:t xml:space="preserve">réponse sous 24h ouvrées</w:t>
      </w:r>
      <w:r>
        <w:t xml:space="preserve">. Pour les sollicitations urgentes (≤6h), privilégier le téléphone.</w:t>
      </w:r>
    </w:p>
    <w:p>
      <w:pPr>
        <w:spacing w:after="160" w:before="320"/>
      </w:pPr>
      <w:r>
        <w:rPr>
          <w:b/>
          <w:bCs/>
          <w:color w:val="1A1A1A"/>
          <w:sz w:val="26"/>
          <w:szCs w:val="26"/>
        </w:rPr>
        <w:t xml:space="preserve">Sujets sur lesquels intervenir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35"/>
        <w:gridCol w:w="7370"/>
      </w:tblGrid>
      <w:tr>
        <w:tc>
          <w:tcPr>
            <w:tcW w:type="dxa" w:w="2835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588F27"/>
                <w:sz w:val="18"/>
                <w:szCs w:val="18"/>
              </w:rPr>
              <w:t xml:space="preserve">Cybersécurité opérationnelle</w:t>
            </w:r>
          </w:p>
        </w:tc>
        <w:tc>
          <w:tcPr>
            <w:tcW w:type="dxa" w:w="7370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18"/>
                <w:szCs w:val="18"/>
              </w:rPr>
              <w:t xml:space="preserve">Audit, détection, conformité (NIS2, DORA, RGPD)</w:t>
            </w:r>
          </w:p>
        </w:tc>
      </w:tr>
      <w:tr>
        <w:tc>
          <w:tcPr>
            <w:tcW w:type="dxa" w:w="2835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588F27"/>
                <w:sz w:val="18"/>
                <w:szCs w:val="18"/>
              </w:rPr>
              <w:t xml:space="preserve">Infostealers et credentials</w:t>
            </w:r>
          </w:p>
        </w:tc>
        <w:tc>
          <w:tcPr>
            <w:tcW w:type="dxa" w:w="7370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18"/>
                <w:szCs w:val="18"/>
              </w:rPr>
              <w:t xml:space="preserve">Marché underground, sources, dynamiques</w:t>
            </w:r>
          </w:p>
        </w:tc>
      </w:tr>
      <w:tr>
        <w:tc>
          <w:tcPr>
            <w:tcW w:type="dxa" w:w="2835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588F27"/>
                <w:sz w:val="18"/>
                <w:szCs w:val="18"/>
              </w:rPr>
              <w:t xml:space="preserve">Souveraineté numérique</w:t>
            </w:r>
          </w:p>
        </w:tc>
        <w:tc>
          <w:tcPr>
            <w:tcW w:type="dxa" w:w="7370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18"/>
                <w:szCs w:val="18"/>
              </w:rPr>
              <w:t xml:space="preserve">Cloud Act, alternatives françaises, ACN</w:t>
            </w:r>
          </w:p>
        </w:tc>
      </w:tr>
      <w:tr>
        <w:tc>
          <w:tcPr>
            <w:tcW w:type="dxa" w:w="2835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588F27"/>
                <w:sz w:val="18"/>
                <w:szCs w:val="18"/>
              </w:rPr>
              <w:t xml:space="preserve">Marché PME/ETI</w:t>
            </w:r>
          </w:p>
        </w:tc>
        <w:tc>
          <w:tcPr>
            <w:tcW w:type="dxa" w:w="7370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18"/>
                <w:szCs w:val="18"/>
              </w:rPr>
              <w:t xml:space="preserve">Réalités du tissu économique, contraintes budget</w:t>
            </w:r>
          </w:p>
        </w:tc>
      </w:tr>
      <w:tr>
        <w:tc>
          <w:tcPr>
            <w:tcW w:type="dxa" w:w="2835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588F27"/>
                <w:sz w:val="18"/>
                <w:szCs w:val="18"/>
              </w:rPr>
              <w:t xml:space="preserve">MSP/MSSP</w:t>
            </w:r>
          </w:p>
        </w:tc>
        <w:tc>
          <w:tcPr>
            <w:tcW w:type="dxa" w:w="7370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18"/>
                <w:szCs w:val="18"/>
              </w:rPr>
              <w:t xml:space="preserve">Modèles de revente, multi-tenants, white-label</w:t>
            </w:r>
          </w:p>
        </w:tc>
      </w:tr>
      <w:tr>
        <w:tc>
          <w:tcPr>
            <w:tcW w:type="dxa" w:w="2835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588F27"/>
                <w:sz w:val="18"/>
                <w:szCs w:val="18"/>
              </w:rPr>
              <w:t xml:space="preserve">VivaTech 2026</w:t>
            </w:r>
          </w:p>
        </w:tc>
        <w:tc>
          <w:tcPr>
            <w:tcW w:type="dxa" w:w="7370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18"/>
                <w:szCs w:val="18"/>
              </w:rPr>
              <w:t xml:space="preserve">Présence stand, French Tech, IMT Starter</w:t>
            </w:r>
          </w:p>
        </w:tc>
      </w:tr>
    </w:tbl>
    <w:p>
      <w:pPr>
        <w:spacing w:after="160" w:before="400"/>
      </w:pPr>
      <w:r>
        <w:rPr>
          <w:b/>
          <w:bCs/>
          <w:color w:val="588F27"/>
          <w:sz w:val="32"/>
          <w:szCs w:val="32"/>
        </w:rPr>
        <w:t xml:space="preserve">Contact technique (CTO)</w:t>
      </w:r>
    </w:p>
    <w:p>
      <w:pPr>
        <w:spacing w:after="120"/>
      </w:pPr>
      <w:r>
        <w:rPr>
          <w:b/>
          <w:bCs/>
        </w:rPr>
        <w:t xml:space="preserve">Cédric Bertrand</w:t>
      </w:r>
      <w:r>
        <w:t xml:space="preserve">, directeur technique et cofondateur, est disponible pour les interviews techniques approfondies (architecture, sources, algorithmes de détection, intégration SIEM/SOAR). Cédric est aussi l’auteur du livre </w:t>
      </w:r>
      <w:r>
        <w:rPr>
          <w:i/>
          <w:iCs/>
        </w:rPr>
        <w:t xml:space="preserve">« Résister aux hackers »</w:t>
      </w:r>
      <w:r>
        <w:t xml:space="preserve"> paru aux éditions Vuibert.</w:t>
      </w:r>
    </w:p>
    <w:p>
      <w:pPr>
        <w:spacing w:after="120"/>
      </w:pPr>
      <w:r>
        <w:t xml:space="preserve">Sollicitations à passer par </w:t>
      </w:r>
      <w:r>
        <w:rPr>
          <w:b/>
          <w:bCs/>
        </w:rPr>
        <w:t xml:space="preserve">Fabien Tavernier</w:t>
      </w:r>
      <w:r>
        <w:t xml:space="preserve">, qui orchestre les interviews techniques avec Cédric selon disponibilités.</w:t>
      </w:r>
    </w:p>
    <w:p>
      <w:pPr>
        <w:spacing w:after="160" w:before="320"/>
      </w:pPr>
      <w:r>
        <w:rPr>
          <w:b/>
          <w:bCs/>
          <w:color w:val="1A1A1A"/>
          <w:sz w:val="26"/>
          <w:szCs w:val="26"/>
        </w:rPr>
        <w:t xml:space="preserve">Coordonnées société</w:t>
      </w:r>
    </w:p>
    <w:tbl>
      <w:tblPr>
        <w:tblW w:type="dxa" w:w="1020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35"/>
        <w:gridCol w:w="7370"/>
      </w:tblGrid>
      <w:tr>
        <w:tc>
          <w:tcPr>
            <w:tcW w:type="dxa" w:w="2835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588F27"/>
                <w:sz w:val="18"/>
                <w:szCs w:val="18"/>
              </w:rPr>
              <w:t xml:space="preserve">Raison sociale</w:t>
            </w:r>
          </w:p>
        </w:tc>
        <w:tc>
          <w:tcPr>
            <w:tcW w:type="dxa" w:w="7370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18"/>
                <w:szCs w:val="18"/>
              </w:rPr>
              <w:t xml:space="preserve">CYBERESIST SAS</w:t>
            </w:r>
          </w:p>
        </w:tc>
      </w:tr>
      <w:tr>
        <w:tc>
          <w:tcPr>
            <w:tcW w:type="dxa" w:w="2835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588F27"/>
                <w:sz w:val="18"/>
                <w:szCs w:val="18"/>
              </w:rPr>
              <w:t xml:space="preserve">RCS</w:t>
            </w:r>
          </w:p>
        </w:tc>
        <w:tc>
          <w:tcPr>
            <w:tcW w:type="dxa" w:w="7370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18"/>
                <w:szCs w:val="18"/>
              </w:rPr>
              <w:t xml:space="preserve">Paris B 930 360 888</w:t>
            </w:r>
          </w:p>
        </w:tc>
      </w:tr>
      <w:tr>
        <w:tc>
          <w:tcPr>
            <w:tcW w:type="dxa" w:w="2835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588F27"/>
                <w:sz w:val="18"/>
                <w:szCs w:val="18"/>
              </w:rPr>
              <w:t xml:space="preserve">Siège</w:t>
            </w:r>
          </w:p>
        </w:tc>
        <w:tc>
          <w:tcPr>
            <w:tcW w:type="dxa" w:w="7370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18"/>
                <w:szCs w:val="18"/>
              </w:rPr>
              <w:t xml:space="preserve">66 avenue des Champs-Élysées, 75008 Paris</w:t>
            </w:r>
          </w:p>
        </w:tc>
      </w:tr>
      <w:tr>
        <w:tc>
          <w:tcPr>
            <w:tcW w:type="dxa" w:w="2835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588F27"/>
                <w:sz w:val="18"/>
                <w:szCs w:val="18"/>
              </w:rPr>
              <w:t xml:space="preserve">Web</w:t>
            </w:r>
          </w:p>
        </w:tc>
        <w:tc>
          <w:tcPr>
            <w:tcW w:type="dxa" w:w="7370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18"/>
                <w:szCs w:val="18"/>
              </w:rPr>
              <w:t xml:space="preserve">www.cyberesist.com</w:t>
            </w:r>
          </w:p>
        </w:tc>
      </w:tr>
      <w:tr>
        <w:tc>
          <w:tcPr>
            <w:tcW w:type="dxa" w:w="2835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588F27"/>
                <w:sz w:val="18"/>
                <w:szCs w:val="18"/>
              </w:rPr>
              <w:t xml:space="preserve">LinkedIn</w:t>
            </w:r>
          </w:p>
        </w:tc>
        <w:tc>
          <w:tcPr>
            <w:tcW w:type="dxa" w:w="7370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18"/>
                <w:szCs w:val="18"/>
              </w:rPr>
              <w:t xml:space="preserve">linkedin.com/company/cyberesist</w:t>
            </w:r>
          </w:p>
        </w:tc>
      </w:tr>
      <w:tr>
        <w:tc>
          <w:tcPr>
            <w:tcW w:type="dxa" w:w="2835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588F27"/>
                <w:sz w:val="18"/>
                <w:szCs w:val="18"/>
              </w:rPr>
              <w:t xml:space="preserve">X</w:t>
            </w:r>
          </w:p>
        </w:tc>
        <w:tc>
          <w:tcPr>
            <w:tcW w:type="dxa" w:w="7370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18"/>
                <w:szCs w:val="18"/>
              </w:rPr>
              <w:t xml:space="preserve">@cyberesist</w:t>
            </w:r>
          </w:p>
        </w:tc>
      </w:tr>
      <w:tr>
        <w:tc>
          <w:tcPr>
            <w:tcW w:type="dxa" w:w="2835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588F27"/>
                <w:sz w:val="18"/>
                <w:szCs w:val="18"/>
              </w:rPr>
              <w:t xml:space="preserve">YouTube</w:t>
            </w:r>
          </w:p>
        </w:tc>
        <w:tc>
          <w:tcPr>
            <w:tcW w:type="dxa" w:w="7370"/>
            <w:tcBorders>
              <w:top w:val="single" w:color="E5E5E5" w:sz="4"/>
              <w:left w:val="single" w:color="E5E5E5" w:sz="4"/>
              <w:bottom w:val="single" w:color="E5E5E5" w:sz="4"/>
              <w:right w:val="single" w:color="E5E5E5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18"/>
                <w:szCs w:val="18"/>
              </w:rPr>
              <w:t xml:space="preserve">@Cyberesist</w:t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Calibri" w:cs="Calibri" w:eastAsia="Calibri" w:hAnsi="Calibri"/>
      <w:b/>
      <w:bCs/>
      <w:color w:val="588F27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Calibri" w:cs="Calibri" w:eastAsia="Calibri" w:hAnsi="Calibri"/>
      <w:b/>
      <w:bCs/>
      <w:color w:val="1A1A1A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2026-06-06T15:07:05.985Z</dcterms:created>
  <dcterms:modified xsi:type="dcterms:W3CDTF">2026-06-06T15:07:05.985Z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